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025B" w14:textId="54483A43" w:rsidR="00952D8E" w:rsidRPr="00065C32" w:rsidRDefault="006E4245">
      <w:pPr>
        <w:rPr>
          <w:rFonts w:ascii="Arial" w:hAnsi="Arial" w:cs="Arial"/>
          <w:b/>
          <w:bCs/>
          <w:sz w:val="32"/>
          <w:szCs w:val="32"/>
        </w:rPr>
      </w:pPr>
      <w:r w:rsidRPr="008C4C49">
        <w:rPr>
          <w:rFonts w:ascii="Arial" w:hAnsi="Arial" w:cs="Arial"/>
          <w:b/>
          <w:bCs/>
          <w:sz w:val="32"/>
          <w:szCs w:val="32"/>
        </w:rPr>
        <w:t>Addendum to BS4163:202</w:t>
      </w:r>
      <w:r w:rsidR="008C4C49" w:rsidRPr="008C4C49">
        <w:rPr>
          <w:rFonts w:ascii="Arial" w:hAnsi="Arial" w:cs="Arial"/>
          <w:b/>
          <w:bCs/>
          <w:sz w:val="32"/>
          <w:szCs w:val="32"/>
        </w:rPr>
        <w:t>1</w:t>
      </w:r>
    </w:p>
    <w:p w14:paraId="5E4C131A" w14:textId="32C191D3" w:rsidR="00994EBC" w:rsidRPr="008C4C49" w:rsidRDefault="00994EBC">
      <w:pPr>
        <w:rPr>
          <w:rFonts w:ascii="Arial" w:hAnsi="Arial" w:cs="Arial"/>
          <w:sz w:val="20"/>
          <w:szCs w:val="20"/>
        </w:rPr>
      </w:pPr>
      <w:r w:rsidRPr="008C4C49">
        <w:rPr>
          <w:rFonts w:ascii="Arial" w:hAnsi="Arial" w:cs="Arial"/>
          <w:sz w:val="20"/>
          <w:szCs w:val="20"/>
        </w:rPr>
        <w:t xml:space="preserve">The following highlight the changes to </w:t>
      </w:r>
      <w:r w:rsidRPr="008C4C49">
        <w:rPr>
          <w:rFonts w:ascii="Arial" w:hAnsi="Arial" w:cs="Arial"/>
          <w:i/>
          <w:iCs/>
          <w:sz w:val="20"/>
          <w:szCs w:val="20"/>
        </w:rPr>
        <w:t>BS 4163:2021</w:t>
      </w:r>
      <w:r w:rsidRPr="008C4C49">
        <w:rPr>
          <w:rFonts w:ascii="Arial" w:hAnsi="Arial" w:cs="Arial"/>
          <w:sz w:val="20"/>
          <w:szCs w:val="20"/>
        </w:rPr>
        <w:t xml:space="preserve"> which has since been superseded by BS 4163:2021+A1:2022. Note: minor grammatical changes are not listed.</w:t>
      </w:r>
      <w:r w:rsidR="008C4C49">
        <w:rPr>
          <w:rFonts w:ascii="Arial" w:hAnsi="Arial" w:cs="Arial"/>
          <w:sz w:val="20"/>
          <w:szCs w:val="20"/>
        </w:rPr>
        <w:br/>
      </w:r>
    </w:p>
    <w:p w14:paraId="5C76DF1D" w14:textId="47F32956" w:rsidR="00994EBC" w:rsidRPr="00065C32" w:rsidRDefault="00065C32">
      <w:pPr>
        <w:rPr>
          <w:rFonts w:ascii="Arial" w:hAnsi="Arial" w:cs="Arial"/>
          <w:b/>
          <w:bCs/>
          <w:u w:val="single"/>
        </w:rPr>
      </w:pPr>
      <w:r>
        <w:rPr>
          <w:rFonts w:ascii="Arial" w:hAnsi="Arial" w:cs="Arial"/>
          <w:b/>
          <w:bCs/>
          <w:u w:val="single"/>
        </w:rPr>
        <w:t>A</w:t>
      </w:r>
      <w:r w:rsidR="008C4C49">
        <w:rPr>
          <w:rFonts w:ascii="Arial" w:hAnsi="Arial" w:cs="Arial"/>
          <w:b/>
          <w:bCs/>
          <w:u w:val="single"/>
        </w:rPr>
        <w:t>MMENDMENT</w:t>
      </w:r>
      <w:r>
        <w:rPr>
          <w:rFonts w:ascii="Arial" w:hAnsi="Arial" w:cs="Arial"/>
          <w:b/>
          <w:bCs/>
          <w:u w:val="single"/>
        </w:rPr>
        <w:t xml:space="preserve"> 1</w:t>
      </w:r>
    </w:p>
    <w:p w14:paraId="506B0C1C" w14:textId="22BE95FC" w:rsidR="00994EBC" w:rsidRPr="00065C32" w:rsidRDefault="00994EBC">
      <w:pPr>
        <w:rPr>
          <w:rStyle w:val="A5"/>
          <w:rFonts w:ascii="Arial" w:eastAsia="BSsymb10" w:hAnsi="Arial" w:cs="Arial"/>
          <w:sz w:val="22"/>
          <w:szCs w:val="22"/>
        </w:rPr>
      </w:pPr>
      <w:r w:rsidRPr="00065C32">
        <w:rPr>
          <w:rFonts w:ascii="Arial" w:hAnsi="Arial" w:cs="Arial"/>
        </w:rPr>
        <w:t xml:space="preserve">The change refers to the </w:t>
      </w:r>
      <w:r w:rsidRPr="00065C32">
        <w:rPr>
          <w:rFonts w:ascii="Arial" w:hAnsi="Arial" w:cs="Arial"/>
        </w:rPr>
        <w:t>Workplace Exposure Limit (WEL) for wood dust</w:t>
      </w:r>
      <w:r w:rsidRPr="00065C32">
        <w:rPr>
          <w:rFonts w:ascii="Arial" w:hAnsi="Arial" w:cs="Arial"/>
        </w:rPr>
        <w:t xml:space="preserve">. </w:t>
      </w:r>
      <w:r w:rsidRPr="00065C32">
        <w:rPr>
          <w:rFonts w:ascii="Arial" w:eastAsia="BSsymb10" w:hAnsi="Arial" w:cs="Arial"/>
          <w:color w:val="000000"/>
        </w:rPr>
        <w:t xml:space="preserve">Dust from </w:t>
      </w:r>
      <w:r w:rsidRPr="00065C32">
        <w:rPr>
          <w:rFonts w:ascii="Arial" w:eastAsia="BSsymb10" w:hAnsi="Arial" w:cs="Arial"/>
          <w:b/>
          <w:bCs/>
          <w:color w:val="000000"/>
        </w:rPr>
        <w:t>hardwood and composite materials</w:t>
      </w:r>
      <w:r w:rsidRPr="00065C32">
        <w:rPr>
          <w:rFonts w:ascii="Arial" w:eastAsia="BSsymb10" w:hAnsi="Arial" w:cs="Arial"/>
          <w:color w:val="000000"/>
        </w:rPr>
        <w:t xml:space="preserve">, such as medium density fibreboard (MDF) has been assigned a workplace exposure limit (WEL) of </w:t>
      </w:r>
      <w:r w:rsidRPr="00065C32">
        <w:rPr>
          <w:rFonts w:ascii="Arial" w:eastAsia="BSsymb10" w:hAnsi="Arial" w:cs="Arial"/>
          <w:b/>
          <w:bCs/>
          <w:color w:val="000000"/>
        </w:rPr>
        <w:t>3 mg/m</w:t>
      </w:r>
      <w:r w:rsidRPr="00065C32">
        <w:rPr>
          <w:rStyle w:val="A5"/>
          <w:rFonts w:ascii="Arial" w:eastAsia="BSsymb10" w:hAnsi="Arial" w:cs="Arial"/>
          <w:b/>
          <w:bCs/>
          <w:sz w:val="22"/>
          <w:szCs w:val="22"/>
        </w:rPr>
        <w:t>3</w:t>
      </w:r>
      <w:r w:rsidRPr="00065C32">
        <w:rPr>
          <w:rStyle w:val="A5"/>
          <w:rFonts w:ascii="Arial" w:eastAsia="BSsymb10" w:hAnsi="Arial" w:cs="Arial"/>
          <w:sz w:val="22"/>
          <w:szCs w:val="22"/>
        </w:rPr>
        <w:t xml:space="preserve"> </w:t>
      </w:r>
      <w:r w:rsidRPr="00065C32">
        <w:rPr>
          <w:rFonts w:ascii="Arial" w:eastAsia="BSsymb10" w:hAnsi="Arial" w:cs="Arial"/>
          <w:color w:val="000000"/>
        </w:rPr>
        <w:t xml:space="preserve">and dust from </w:t>
      </w:r>
      <w:r w:rsidRPr="00065C32">
        <w:rPr>
          <w:rFonts w:ascii="Arial" w:eastAsia="BSsymb10" w:hAnsi="Arial" w:cs="Arial"/>
          <w:b/>
          <w:bCs/>
          <w:color w:val="000000"/>
        </w:rPr>
        <w:t>softwood</w:t>
      </w:r>
      <w:r w:rsidRPr="00065C32">
        <w:rPr>
          <w:rFonts w:ascii="Arial" w:eastAsia="BSsymb10" w:hAnsi="Arial" w:cs="Arial"/>
          <w:color w:val="000000"/>
        </w:rPr>
        <w:t xml:space="preserve"> has been assigned a (WEL) of </w:t>
      </w:r>
      <w:r w:rsidRPr="00065C32">
        <w:rPr>
          <w:rFonts w:ascii="Arial" w:eastAsia="BSsymb10" w:hAnsi="Arial" w:cs="Arial"/>
          <w:b/>
          <w:bCs/>
          <w:color w:val="000000"/>
        </w:rPr>
        <w:t>5 mg/m</w:t>
      </w:r>
      <w:r w:rsidRPr="00065C32">
        <w:rPr>
          <w:rStyle w:val="A5"/>
          <w:rFonts w:ascii="Arial" w:eastAsia="BSsymb10" w:hAnsi="Arial" w:cs="Arial"/>
          <w:b/>
          <w:bCs/>
          <w:sz w:val="22"/>
          <w:szCs w:val="22"/>
        </w:rPr>
        <w:t>3</w:t>
      </w:r>
      <w:r w:rsidRPr="00065C32">
        <w:rPr>
          <w:rFonts w:ascii="Arial" w:eastAsia="BSsymb10" w:hAnsi="Arial" w:cs="Arial"/>
          <w:color w:val="000000"/>
        </w:rPr>
        <w:t>.</w:t>
      </w:r>
      <w:r w:rsidRPr="00065C32">
        <w:rPr>
          <w:rFonts w:ascii="Arial" w:eastAsia="BSsymb10" w:hAnsi="Arial" w:cs="Arial"/>
          <w:color w:val="000000"/>
        </w:rPr>
        <w:t xml:space="preserve"> In the previous version all listed woods and composite materials were listed incorrectly as </w:t>
      </w:r>
      <w:r w:rsidRPr="00065C32">
        <w:rPr>
          <w:rFonts w:ascii="Arial" w:eastAsia="BSsymb10" w:hAnsi="Arial" w:cs="Arial"/>
          <w:color w:val="000000"/>
        </w:rPr>
        <w:t>5 mg/m</w:t>
      </w:r>
      <w:r w:rsidRPr="00065C32">
        <w:rPr>
          <w:rStyle w:val="A5"/>
          <w:rFonts w:ascii="Arial" w:eastAsia="BSsymb10" w:hAnsi="Arial" w:cs="Arial"/>
          <w:sz w:val="22"/>
          <w:szCs w:val="22"/>
        </w:rPr>
        <w:t>3</w:t>
      </w:r>
      <w:r w:rsidRPr="00065C32">
        <w:rPr>
          <w:rStyle w:val="A5"/>
          <w:rFonts w:ascii="Arial" w:eastAsia="BSsymb10" w:hAnsi="Arial" w:cs="Arial"/>
          <w:sz w:val="22"/>
          <w:szCs w:val="22"/>
        </w:rPr>
        <w:t>.</w:t>
      </w:r>
    </w:p>
    <w:p w14:paraId="714AF00F" w14:textId="4239293F" w:rsidR="00994EBC" w:rsidRPr="00065C32" w:rsidRDefault="00065C32" w:rsidP="00994EBC">
      <w:pPr>
        <w:rPr>
          <w:rFonts w:ascii="Arial" w:hAnsi="Arial" w:cs="Arial"/>
        </w:rPr>
      </w:pPr>
      <w:r w:rsidRPr="00065C32">
        <w:rPr>
          <w:rFonts w:ascii="Arial" w:eastAsia="BSsymb10" w:hAnsi="Arial" w:cs="Arial"/>
          <w:color w:val="000000"/>
        </w:rPr>
        <w:t>This is printed in this document on pages 50, 66 and 149. The correct statements for reference are below and should be used.</w:t>
      </w:r>
    </w:p>
    <w:p w14:paraId="77E72F56" w14:textId="77777777" w:rsidR="006E4245" w:rsidRPr="00065C32" w:rsidRDefault="006E4245" w:rsidP="006E4245">
      <w:pPr>
        <w:pStyle w:val="Pa18"/>
        <w:spacing w:before="320" w:after="100"/>
        <w:ind w:left="1120" w:hanging="1120"/>
        <w:rPr>
          <w:rFonts w:cs="Cambria"/>
          <w:color w:val="000000"/>
          <w:sz w:val="22"/>
          <w:szCs w:val="22"/>
        </w:rPr>
      </w:pPr>
      <w:r w:rsidRPr="00065C32">
        <w:rPr>
          <w:rFonts w:cs="Cambria"/>
          <w:b/>
          <w:bCs/>
          <w:color w:val="000000"/>
          <w:sz w:val="22"/>
          <w:szCs w:val="22"/>
        </w:rPr>
        <w:t xml:space="preserve">12 Portable tools and equipment used in workshops </w:t>
      </w:r>
    </w:p>
    <w:p w14:paraId="7B0FF76A" w14:textId="77777777" w:rsidR="006E4245" w:rsidRPr="00065C32" w:rsidRDefault="006E4245" w:rsidP="006E4245">
      <w:pPr>
        <w:pStyle w:val="Pa11"/>
        <w:spacing w:before="40" w:after="100"/>
        <w:ind w:left="1120" w:hanging="1120"/>
        <w:rPr>
          <w:rFonts w:cs="Cambria"/>
          <w:color w:val="000000"/>
          <w:sz w:val="20"/>
          <w:szCs w:val="20"/>
        </w:rPr>
      </w:pPr>
      <w:r w:rsidRPr="00065C32">
        <w:rPr>
          <w:rFonts w:cs="Cambria"/>
          <w:b/>
          <w:bCs/>
          <w:color w:val="000000"/>
          <w:sz w:val="20"/>
          <w:szCs w:val="20"/>
        </w:rPr>
        <w:t xml:space="preserve">12.1 General </w:t>
      </w:r>
    </w:p>
    <w:p w14:paraId="2E93A368" w14:textId="77777777" w:rsidR="006E4245" w:rsidRPr="00065C32" w:rsidRDefault="006E4245" w:rsidP="00994EBC">
      <w:pPr>
        <w:pStyle w:val="Pa12"/>
        <w:spacing w:after="100"/>
        <w:rPr>
          <w:rFonts w:cs="Cambria"/>
          <w:color w:val="000000"/>
          <w:sz w:val="20"/>
          <w:szCs w:val="20"/>
        </w:rPr>
      </w:pPr>
      <w:r w:rsidRPr="00065C32">
        <w:rPr>
          <w:rFonts w:cs="Cambria"/>
          <w:i/>
          <w:iCs/>
          <w:color w:val="000000"/>
          <w:sz w:val="20"/>
          <w:szCs w:val="20"/>
        </w:rPr>
        <w:t xml:space="preserve">COMMENTARY ON </w:t>
      </w:r>
      <w:r w:rsidRPr="00065C32">
        <w:rPr>
          <w:rFonts w:cs="Cambria"/>
          <w:b/>
          <w:bCs/>
          <w:i/>
          <w:iCs/>
          <w:color w:val="000000"/>
          <w:sz w:val="20"/>
          <w:szCs w:val="20"/>
        </w:rPr>
        <w:t xml:space="preserve">12.1 </w:t>
      </w:r>
    </w:p>
    <w:p w14:paraId="3C60D6AC" w14:textId="6A9DF354" w:rsidR="006E4245" w:rsidRDefault="006E4245">
      <w:r>
        <w:rPr>
          <w:rFonts w:eastAsia="BSsymb10" w:cs="Cambria"/>
          <w:i/>
          <w:iCs/>
          <w:color w:val="000000"/>
          <w:sz w:val="20"/>
          <w:szCs w:val="20"/>
        </w:rPr>
        <w:t>Attention is drawn to the Control of Substances Hazardous to Health (COSHH) Regulations 2002 (as amended) [</w:t>
      </w:r>
      <w:r>
        <w:rPr>
          <w:rStyle w:val="A8"/>
          <w:rFonts w:eastAsia="BSsymb10"/>
        </w:rPr>
        <w:t>23</w:t>
      </w:r>
      <w:r>
        <w:rPr>
          <w:rFonts w:eastAsia="BSsymb10" w:cs="Cambria"/>
          <w:i/>
          <w:iCs/>
          <w:color w:val="000000"/>
          <w:sz w:val="20"/>
          <w:szCs w:val="20"/>
        </w:rPr>
        <w:t xml:space="preserve">] </w:t>
      </w:r>
      <w:proofErr w:type="gramStart"/>
      <w:r>
        <w:rPr>
          <w:rFonts w:eastAsia="BSsymb10" w:cs="Cambria"/>
          <w:i/>
          <w:iCs/>
          <w:color w:val="000000"/>
          <w:sz w:val="20"/>
          <w:szCs w:val="20"/>
        </w:rPr>
        <w:t>with regard to</w:t>
      </w:r>
      <w:proofErr w:type="gramEnd"/>
      <w:r>
        <w:rPr>
          <w:rFonts w:eastAsia="BSsymb10" w:cs="Cambria"/>
          <w:i/>
          <w:iCs/>
          <w:color w:val="000000"/>
          <w:sz w:val="20"/>
          <w:szCs w:val="20"/>
        </w:rPr>
        <w:t xml:space="preserve"> employers preventing, or adequately controlling, exposure by inhalation to wood dust. Dust from hardwood and composite materials, such as medium density fibreboard (MDF) has been assigned a workplace exposure limit (WEL) of 3 mg/m</w:t>
      </w:r>
      <w:r>
        <w:rPr>
          <w:rStyle w:val="A5"/>
          <w:rFonts w:eastAsia="BSsymb10"/>
        </w:rPr>
        <w:t xml:space="preserve">3 </w:t>
      </w:r>
      <w:r>
        <w:rPr>
          <w:rFonts w:eastAsia="BSsymb10" w:cs="Cambria"/>
          <w:i/>
          <w:iCs/>
          <w:color w:val="000000"/>
          <w:sz w:val="20"/>
          <w:szCs w:val="20"/>
        </w:rPr>
        <w:t>and dust from softwood has been assigned a (WEL) of 5 mg/m</w:t>
      </w:r>
      <w:r>
        <w:rPr>
          <w:rStyle w:val="A5"/>
          <w:rFonts w:eastAsia="BSsymb10"/>
        </w:rPr>
        <w:t>3</w:t>
      </w:r>
      <w:r>
        <w:rPr>
          <w:rFonts w:eastAsia="BSsymb10" w:cs="Cambria"/>
          <w:i/>
          <w:iCs/>
          <w:color w:val="000000"/>
          <w:sz w:val="20"/>
          <w:szCs w:val="20"/>
        </w:rPr>
        <w:t xml:space="preserve">. This is a time weighted average over an eight-hour period. For both hardwood, </w:t>
      </w:r>
      <w:proofErr w:type="gramStart"/>
      <w:r>
        <w:rPr>
          <w:rFonts w:eastAsia="BSsymb10" w:cs="Cambria"/>
          <w:i/>
          <w:iCs/>
          <w:color w:val="000000"/>
          <w:sz w:val="20"/>
          <w:szCs w:val="20"/>
        </w:rPr>
        <w:t>composite</w:t>
      </w:r>
      <w:proofErr w:type="gramEnd"/>
      <w:r>
        <w:rPr>
          <w:rFonts w:eastAsia="BSsymb10" w:cs="Cambria"/>
          <w:i/>
          <w:iCs/>
          <w:color w:val="000000"/>
          <w:sz w:val="20"/>
          <w:szCs w:val="20"/>
        </w:rPr>
        <w:t xml:space="preserve"> and softwood dusts, the COSHH Regulations [</w:t>
      </w:r>
      <w:r>
        <w:rPr>
          <w:rStyle w:val="A8"/>
          <w:rFonts w:eastAsia="BSsymb10"/>
        </w:rPr>
        <w:t>23</w:t>
      </w:r>
      <w:r>
        <w:rPr>
          <w:rFonts w:eastAsia="BSsymb10" w:cs="Cambria"/>
          <w:i/>
          <w:iCs/>
          <w:color w:val="000000"/>
          <w:sz w:val="20"/>
          <w:szCs w:val="20"/>
        </w:rPr>
        <w:t>] require employers to ensure that exposure by inhalation is reduced as far as reasonably practicable and in any case to below the WEL (see HSE Woodworking Sheet No 23 (Revision 2) – Wood Dust – Controlling the Risks [</w:t>
      </w:r>
      <w:r>
        <w:rPr>
          <w:rStyle w:val="A8"/>
          <w:rFonts w:eastAsia="BSsymb10"/>
        </w:rPr>
        <w:t>54</w:t>
      </w:r>
      <w:r>
        <w:rPr>
          <w:rFonts w:eastAsia="BSsymb10" w:cs="Cambria"/>
          <w:i/>
          <w:iCs/>
          <w:color w:val="000000"/>
          <w:sz w:val="20"/>
          <w:szCs w:val="20"/>
        </w:rPr>
        <w:t>]).</w:t>
      </w:r>
    </w:p>
    <w:p w14:paraId="7BF81965" w14:textId="7F5B4666" w:rsidR="006E4245" w:rsidRPr="00065C32" w:rsidRDefault="00065C32" w:rsidP="006E4245">
      <w:pPr>
        <w:pStyle w:val="Pa18"/>
        <w:spacing w:before="320" w:after="100"/>
        <w:ind w:left="1120" w:hanging="1120"/>
        <w:rPr>
          <w:rFonts w:cs="Cambria"/>
          <w:b/>
          <w:bCs/>
          <w:color w:val="000000"/>
          <w:sz w:val="22"/>
          <w:szCs w:val="22"/>
        </w:rPr>
      </w:pPr>
      <w:r w:rsidRPr="00065C32">
        <w:rPr>
          <w:rFonts w:cs="Cambria"/>
          <w:b/>
          <w:bCs/>
          <w:color w:val="000000"/>
          <w:sz w:val="22"/>
          <w:szCs w:val="22"/>
        </w:rPr>
        <w:t xml:space="preserve">13 </w:t>
      </w:r>
      <w:r w:rsidR="006E4245" w:rsidRPr="00065C32">
        <w:rPr>
          <w:rFonts w:cs="Cambria"/>
          <w:b/>
          <w:bCs/>
          <w:color w:val="000000"/>
          <w:sz w:val="22"/>
          <w:szCs w:val="22"/>
        </w:rPr>
        <w:t xml:space="preserve">Woodworking machinery </w:t>
      </w:r>
    </w:p>
    <w:p w14:paraId="77F32143" w14:textId="77777777" w:rsidR="006E4245" w:rsidRPr="00065C32" w:rsidRDefault="006E4245" w:rsidP="006E4245">
      <w:pPr>
        <w:pStyle w:val="Pa11"/>
        <w:spacing w:before="40" w:after="100"/>
        <w:ind w:left="1120" w:hanging="1120"/>
        <w:rPr>
          <w:rFonts w:cs="Cambria"/>
          <w:color w:val="000000"/>
          <w:sz w:val="20"/>
          <w:szCs w:val="20"/>
        </w:rPr>
      </w:pPr>
      <w:r w:rsidRPr="00065C32">
        <w:rPr>
          <w:rFonts w:cs="Cambria"/>
          <w:b/>
          <w:bCs/>
          <w:color w:val="000000"/>
          <w:sz w:val="20"/>
          <w:szCs w:val="20"/>
        </w:rPr>
        <w:t xml:space="preserve">13.1 General </w:t>
      </w:r>
    </w:p>
    <w:p w14:paraId="455004FF" w14:textId="77777777" w:rsidR="006E4245" w:rsidRPr="00065C32" w:rsidRDefault="006E4245" w:rsidP="00065C32">
      <w:pPr>
        <w:pStyle w:val="Pa12"/>
        <w:spacing w:after="100"/>
        <w:rPr>
          <w:rFonts w:cs="Cambria"/>
          <w:color w:val="000000"/>
          <w:sz w:val="20"/>
          <w:szCs w:val="20"/>
        </w:rPr>
      </w:pPr>
      <w:r w:rsidRPr="00065C32">
        <w:rPr>
          <w:rFonts w:cs="Cambria"/>
          <w:i/>
          <w:iCs/>
          <w:color w:val="000000"/>
          <w:sz w:val="20"/>
          <w:szCs w:val="20"/>
        </w:rPr>
        <w:t xml:space="preserve">COMMENTARY ON </w:t>
      </w:r>
      <w:r w:rsidRPr="00065C32">
        <w:rPr>
          <w:rFonts w:cs="Cambria"/>
          <w:b/>
          <w:bCs/>
          <w:i/>
          <w:iCs/>
          <w:color w:val="000000"/>
          <w:sz w:val="20"/>
          <w:szCs w:val="20"/>
        </w:rPr>
        <w:t xml:space="preserve">13.1 </w:t>
      </w:r>
    </w:p>
    <w:p w14:paraId="4098E54F" w14:textId="5F5F0ACC" w:rsidR="006E4245" w:rsidRDefault="006E4245" w:rsidP="006E4245">
      <w:pPr>
        <w:rPr>
          <w:rStyle w:val="A7"/>
        </w:rPr>
      </w:pPr>
      <w:r>
        <w:rPr>
          <w:rFonts w:eastAsia="BSsymb10" w:cs="Cambria"/>
          <w:i/>
          <w:iCs/>
          <w:color w:val="000000"/>
          <w:sz w:val="20"/>
          <w:szCs w:val="20"/>
        </w:rPr>
        <w:t>Attention is drawn to the Control of Substances Hazardous to Health (COSHH) Regulations 2002 (as amended) [</w:t>
      </w:r>
      <w:r>
        <w:rPr>
          <w:rStyle w:val="A8"/>
          <w:rFonts w:eastAsia="BSsymb10"/>
        </w:rPr>
        <w:t>23</w:t>
      </w:r>
      <w:r>
        <w:rPr>
          <w:rFonts w:eastAsia="BSsymb10" w:cs="Cambria"/>
          <w:i/>
          <w:iCs/>
          <w:color w:val="000000"/>
          <w:sz w:val="20"/>
          <w:szCs w:val="20"/>
        </w:rPr>
        <w:t xml:space="preserve">] </w:t>
      </w:r>
      <w:proofErr w:type="gramStart"/>
      <w:r>
        <w:rPr>
          <w:rFonts w:eastAsia="BSsymb10" w:cs="Cambria"/>
          <w:i/>
          <w:iCs/>
          <w:color w:val="000000"/>
          <w:sz w:val="20"/>
          <w:szCs w:val="20"/>
        </w:rPr>
        <w:t>with regard to</w:t>
      </w:r>
      <w:proofErr w:type="gramEnd"/>
      <w:r>
        <w:rPr>
          <w:rFonts w:eastAsia="BSsymb10" w:cs="Cambria"/>
          <w:i/>
          <w:iCs/>
          <w:color w:val="000000"/>
          <w:sz w:val="20"/>
          <w:szCs w:val="20"/>
        </w:rPr>
        <w:t xml:space="preserve"> employers preventing, or adequately controlling, exposure by inhalation to wood dust. Dust from hardwood and composite materials, such as medium density fibreboard (MDF) has been assigned a workplace exposure limit (WEL) of 3 mg/m</w:t>
      </w:r>
      <w:r>
        <w:rPr>
          <w:rStyle w:val="A5"/>
          <w:rFonts w:eastAsia="BSsymb10"/>
        </w:rPr>
        <w:t xml:space="preserve">3 </w:t>
      </w:r>
      <w:r>
        <w:rPr>
          <w:rFonts w:eastAsia="BSsymb10" w:cs="Cambria"/>
          <w:i/>
          <w:iCs/>
          <w:color w:val="000000"/>
          <w:sz w:val="20"/>
          <w:szCs w:val="20"/>
        </w:rPr>
        <w:t>and dust from softwood has been assigned a (WEL) of 5 mg/m</w:t>
      </w:r>
      <w:r>
        <w:rPr>
          <w:rStyle w:val="A5"/>
          <w:rFonts w:eastAsia="BSsymb10"/>
        </w:rPr>
        <w:t>3</w:t>
      </w:r>
      <w:r>
        <w:rPr>
          <w:rFonts w:eastAsia="BSsymb10" w:cs="Cambria"/>
          <w:i/>
          <w:iCs/>
          <w:color w:val="000000"/>
          <w:sz w:val="20"/>
          <w:szCs w:val="20"/>
        </w:rPr>
        <w:t>. This is a time weighted average over an eight</w:t>
      </w:r>
      <w:r>
        <w:rPr>
          <w:rFonts w:eastAsia="BSsymb10" w:cs="Cambria"/>
          <w:i/>
          <w:iCs/>
          <w:color w:val="000000"/>
          <w:sz w:val="20"/>
          <w:szCs w:val="20"/>
        </w:rPr>
        <w:noBreakHyphen/>
        <w:t xml:space="preserve">hour period. For both hardwood, </w:t>
      </w:r>
      <w:proofErr w:type="gramStart"/>
      <w:r>
        <w:rPr>
          <w:rFonts w:eastAsia="BSsymb10" w:cs="Cambria"/>
          <w:i/>
          <w:iCs/>
          <w:color w:val="000000"/>
          <w:sz w:val="20"/>
          <w:szCs w:val="20"/>
        </w:rPr>
        <w:t>composite</w:t>
      </w:r>
      <w:proofErr w:type="gramEnd"/>
      <w:r>
        <w:rPr>
          <w:rFonts w:eastAsia="BSsymb10" w:cs="Cambria"/>
          <w:i/>
          <w:iCs/>
          <w:color w:val="000000"/>
          <w:sz w:val="20"/>
          <w:szCs w:val="20"/>
        </w:rPr>
        <w:t xml:space="preserve"> and softwood dusts, the COSHH Regulations [</w:t>
      </w:r>
      <w:r>
        <w:rPr>
          <w:rStyle w:val="A8"/>
          <w:rFonts w:eastAsia="BSsymb10"/>
        </w:rPr>
        <w:t>23</w:t>
      </w:r>
      <w:r>
        <w:rPr>
          <w:rFonts w:eastAsia="BSsymb10" w:cs="Cambria"/>
          <w:i/>
          <w:iCs/>
          <w:color w:val="000000"/>
          <w:sz w:val="20"/>
          <w:szCs w:val="20"/>
        </w:rPr>
        <w:t>] require employers to ensure that exposure by inhalation is reduced as far as reasonably practicable and in any case to below the WEL (see HSE Woodworking Sheet No 23 (Revision 2) – Wood Dust – Controlling the Risks [</w:t>
      </w:r>
      <w:r>
        <w:rPr>
          <w:rStyle w:val="A8"/>
          <w:rFonts w:eastAsia="BSsymb10"/>
        </w:rPr>
        <w:t>54</w:t>
      </w:r>
      <w:r>
        <w:rPr>
          <w:rFonts w:eastAsia="BSsymb10" w:cs="Cambria"/>
          <w:i/>
          <w:iCs/>
          <w:color w:val="000000"/>
          <w:sz w:val="20"/>
          <w:szCs w:val="20"/>
        </w:rPr>
        <w:t>]).</w:t>
      </w:r>
    </w:p>
    <w:p w14:paraId="5C2E2A0C" w14:textId="77777777" w:rsidR="00065C32" w:rsidRPr="00065C32" w:rsidRDefault="00065C32" w:rsidP="006E4245">
      <w:pPr>
        <w:rPr>
          <w:rFonts w:ascii="BSsymb10" w:eastAsia="BSsymb10" w:cs="BSsymb10"/>
          <w:color w:val="000000"/>
        </w:rPr>
      </w:pPr>
    </w:p>
    <w:p w14:paraId="499AAFC8" w14:textId="1161BC4A" w:rsidR="006E4245" w:rsidRDefault="006E4245" w:rsidP="006E4245">
      <w:pPr>
        <w:rPr>
          <w:rFonts w:eastAsia="BSsymb10" w:cs="Cambria"/>
          <w:i/>
          <w:iCs/>
          <w:color w:val="000000"/>
          <w:sz w:val="20"/>
          <w:szCs w:val="20"/>
        </w:rPr>
      </w:pPr>
      <w:r w:rsidRPr="00065C32">
        <w:rPr>
          <w:rFonts w:cs="Cambria"/>
          <w:b/>
          <w:bCs/>
          <w:color w:val="000000"/>
          <w:sz w:val="20"/>
          <w:szCs w:val="20"/>
        </w:rPr>
        <w:t>20.5.2 Risk control measures</w:t>
      </w:r>
      <w:r>
        <w:rPr>
          <w:rFonts w:eastAsia="BSsymb10" w:cs="Cambria"/>
          <w:i/>
          <w:iCs/>
          <w:color w:val="000000"/>
          <w:sz w:val="20"/>
          <w:szCs w:val="20"/>
        </w:rPr>
        <w:t>.</w:t>
      </w:r>
    </w:p>
    <w:p w14:paraId="56696497" w14:textId="77777777" w:rsidR="006E4245" w:rsidRPr="006E4245" w:rsidRDefault="006E4245" w:rsidP="00065C32">
      <w:pPr>
        <w:autoSpaceDE w:val="0"/>
        <w:autoSpaceDN w:val="0"/>
        <w:adjustRightInd w:val="0"/>
        <w:spacing w:after="100" w:line="201" w:lineRule="atLeast"/>
        <w:rPr>
          <w:rFonts w:ascii="Cambria" w:hAnsi="Cambria" w:cs="Cambria"/>
          <w:color w:val="000000"/>
          <w:sz w:val="20"/>
          <w:szCs w:val="20"/>
        </w:rPr>
      </w:pPr>
      <w:r w:rsidRPr="006E4245">
        <w:rPr>
          <w:rFonts w:ascii="Cambria" w:hAnsi="Cambria" w:cs="Cambria"/>
          <w:i/>
          <w:iCs/>
          <w:color w:val="000000"/>
          <w:sz w:val="20"/>
          <w:szCs w:val="20"/>
        </w:rPr>
        <w:t xml:space="preserve">Regular users of timber materials (especially if sanding is regularly carried out) are at increased risk of cumulative hazards to their nasal and upper respiratory passages. The degree of risk depends on the dust concentration, the length of exposure and the type of material. </w:t>
      </w:r>
    </w:p>
    <w:p w14:paraId="31D19917" w14:textId="720FE473" w:rsidR="00065C32" w:rsidRDefault="006E4245" w:rsidP="006E4245">
      <w:pPr>
        <w:rPr>
          <w:rFonts w:ascii="BSsymb10" w:eastAsia="BSsymb10" w:hAnsi="Cambria" w:cs="BSsymb10"/>
          <w:color w:val="000000"/>
        </w:rPr>
      </w:pPr>
      <w:r w:rsidRPr="006E4245">
        <w:rPr>
          <w:rFonts w:ascii="Cambria" w:eastAsia="BSsymb10" w:hAnsi="Cambria" w:cs="Cambria"/>
          <w:color w:val="000000"/>
          <w:sz w:val="20"/>
          <w:szCs w:val="20"/>
        </w:rPr>
        <w:t>Dust from hardwood, and composite materials, such as medium density fibreboard (MDF) are assigned an HSE maximum workplace exposure limit (WEL) of 3 mg/m</w:t>
      </w:r>
      <w:r w:rsidRPr="006E4245">
        <w:rPr>
          <w:rFonts w:ascii="Cambria" w:eastAsia="BSsymb10" w:hAnsi="Cambria" w:cs="Cambria"/>
          <w:color w:val="000000"/>
          <w:sz w:val="11"/>
          <w:szCs w:val="11"/>
        </w:rPr>
        <w:t>3</w:t>
      </w:r>
      <w:r w:rsidRPr="006E4245">
        <w:rPr>
          <w:rFonts w:ascii="Cambria" w:eastAsia="BSsymb10" w:hAnsi="Cambria" w:cs="Cambria"/>
          <w:color w:val="000000"/>
          <w:sz w:val="20"/>
          <w:szCs w:val="20"/>
        </w:rPr>
        <w:t>, and dust from softwood a (WEL) of 5 mg/m</w:t>
      </w:r>
      <w:r w:rsidRPr="006E4245">
        <w:rPr>
          <w:rFonts w:ascii="Cambria" w:eastAsia="BSsymb10" w:hAnsi="Cambria" w:cs="Cambria"/>
          <w:color w:val="000000"/>
          <w:sz w:val="11"/>
          <w:szCs w:val="11"/>
        </w:rPr>
        <w:t>3</w:t>
      </w:r>
      <w:r w:rsidRPr="006E4245">
        <w:rPr>
          <w:rFonts w:ascii="Cambria" w:eastAsia="BSsymb10" w:hAnsi="Cambria" w:cs="Cambria"/>
          <w:color w:val="000000"/>
          <w:sz w:val="20"/>
          <w:szCs w:val="20"/>
        </w:rPr>
        <w:t>; control measures should be put in place to reduce exposure to the lowest reasonably practicable level.</w:t>
      </w:r>
    </w:p>
    <w:p w14:paraId="1281781C" w14:textId="67F6DF7C" w:rsidR="00065C32" w:rsidRPr="00065C32" w:rsidRDefault="00065C32" w:rsidP="00065C32">
      <w:pPr>
        <w:rPr>
          <w:rFonts w:ascii="Arial" w:hAnsi="Arial" w:cs="Arial"/>
          <w:b/>
          <w:bCs/>
          <w:u w:val="single"/>
        </w:rPr>
      </w:pPr>
      <w:r>
        <w:rPr>
          <w:rFonts w:ascii="Arial" w:hAnsi="Arial" w:cs="Arial"/>
          <w:b/>
          <w:bCs/>
          <w:u w:val="single"/>
        </w:rPr>
        <w:lastRenderedPageBreak/>
        <w:t>A</w:t>
      </w:r>
      <w:r w:rsidR="008C4C49">
        <w:rPr>
          <w:rFonts w:ascii="Arial" w:hAnsi="Arial" w:cs="Arial"/>
          <w:b/>
          <w:bCs/>
          <w:u w:val="single"/>
        </w:rPr>
        <w:t>MMENDMENT</w:t>
      </w:r>
      <w:r>
        <w:rPr>
          <w:rFonts w:ascii="Arial" w:hAnsi="Arial" w:cs="Arial"/>
          <w:b/>
          <w:bCs/>
          <w:u w:val="single"/>
        </w:rPr>
        <w:t xml:space="preserve"> </w:t>
      </w:r>
      <w:r>
        <w:rPr>
          <w:rFonts w:ascii="Arial" w:hAnsi="Arial" w:cs="Arial"/>
          <w:b/>
          <w:bCs/>
          <w:u w:val="single"/>
        </w:rPr>
        <w:t>2</w:t>
      </w:r>
    </w:p>
    <w:p w14:paraId="3F43AF72" w14:textId="464C4EE6" w:rsidR="00065C32" w:rsidRDefault="00065C32" w:rsidP="00065C32">
      <w:pPr>
        <w:rPr>
          <w:rFonts w:ascii="Arial" w:eastAsia="BSsymb10" w:hAnsi="Arial" w:cs="Arial"/>
          <w:color w:val="000000"/>
        </w:rPr>
      </w:pPr>
      <w:r w:rsidRPr="00065C32">
        <w:rPr>
          <w:rFonts w:ascii="Arial" w:hAnsi="Arial" w:cs="Arial"/>
        </w:rPr>
        <w:t xml:space="preserve">The </w:t>
      </w:r>
      <w:r>
        <w:rPr>
          <w:rFonts w:ascii="Arial" w:hAnsi="Arial" w:cs="Arial"/>
        </w:rPr>
        <w:t xml:space="preserve">previous version incorrectly referred to guidance on the use of hot melt glue guns being in </w:t>
      </w:r>
      <w:r w:rsidRPr="00065C32">
        <w:rPr>
          <w:rFonts w:ascii="Arial" w:hAnsi="Arial" w:cs="Arial"/>
          <w:b/>
          <w:bCs/>
        </w:rPr>
        <w:t>12.14</w:t>
      </w:r>
      <w:r>
        <w:rPr>
          <w:rFonts w:ascii="Arial" w:hAnsi="Arial" w:cs="Arial"/>
        </w:rPr>
        <w:t xml:space="preserve">. This should have read </w:t>
      </w:r>
      <w:r w:rsidRPr="00065C32">
        <w:rPr>
          <w:rFonts w:ascii="Arial" w:hAnsi="Arial" w:cs="Arial"/>
          <w:b/>
          <w:bCs/>
        </w:rPr>
        <w:t>12.19</w:t>
      </w:r>
      <w:r>
        <w:rPr>
          <w:rFonts w:ascii="Arial" w:hAnsi="Arial" w:cs="Arial"/>
        </w:rPr>
        <w:t xml:space="preserve">. </w:t>
      </w:r>
      <w:r w:rsidRPr="00065C32">
        <w:rPr>
          <w:rFonts w:ascii="Arial" w:eastAsia="BSsymb10" w:hAnsi="Arial" w:cs="Arial"/>
          <w:color w:val="000000"/>
        </w:rPr>
        <w:t xml:space="preserve">The correct statement for reference </w:t>
      </w:r>
      <w:r>
        <w:rPr>
          <w:rFonts w:ascii="Arial" w:eastAsia="BSsymb10" w:hAnsi="Arial" w:cs="Arial"/>
          <w:color w:val="000000"/>
        </w:rPr>
        <w:t>is</w:t>
      </w:r>
      <w:r w:rsidRPr="00065C32">
        <w:rPr>
          <w:rFonts w:ascii="Arial" w:eastAsia="BSsymb10" w:hAnsi="Arial" w:cs="Arial"/>
          <w:color w:val="000000"/>
        </w:rPr>
        <w:t xml:space="preserve"> below and should be used.</w:t>
      </w:r>
    </w:p>
    <w:p w14:paraId="3F01C6EC" w14:textId="77777777" w:rsidR="00065C32" w:rsidRDefault="00065C32" w:rsidP="00065C32">
      <w:pPr>
        <w:rPr>
          <w:rFonts w:ascii="Arial" w:hAnsi="Arial" w:cs="Arial"/>
        </w:rPr>
      </w:pPr>
    </w:p>
    <w:p w14:paraId="5C930A9B" w14:textId="77777777" w:rsidR="00065C32" w:rsidRDefault="00065C32" w:rsidP="00065C32">
      <w:pPr>
        <w:pStyle w:val="Pa11"/>
        <w:spacing w:before="40" w:after="100"/>
        <w:ind w:left="1120" w:hanging="1120"/>
        <w:rPr>
          <w:rFonts w:cs="Cambria"/>
          <w:color w:val="000000"/>
          <w:sz w:val="22"/>
          <w:szCs w:val="22"/>
        </w:rPr>
      </w:pPr>
      <w:r>
        <w:rPr>
          <w:rFonts w:cs="Cambria"/>
          <w:b/>
          <w:bCs/>
          <w:color w:val="000000"/>
          <w:sz w:val="22"/>
          <w:szCs w:val="22"/>
        </w:rPr>
        <w:t xml:space="preserve">20.3 Adhesives </w:t>
      </w:r>
    </w:p>
    <w:p w14:paraId="100AD360" w14:textId="77777777" w:rsidR="00065C32" w:rsidRDefault="00065C32" w:rsidP="00065C32">
      <w:pPr>
        <w:pStyle w:val="Pa12"/>
        <w:spacing w:after="100"/>
        <w:rPr>
          <w:rFonts w:cs="Cambria"/>
          <w:color w:val="000000"/>
          <w:sz w:val="20"/>
          <w:szCs w:val="20"/>
        </w:rPr>
      </w:pPr>
      <w:r>
        <w:rPr>
          <w:rFonts w:cs="Cambria"/>
          <w:i/>
          <w:iCs/>
          <w:color w:val="000000"/>
          <w:sz w:val="20"/>
          <w:szCs w:val="20"/>
        </w:rPr>
        <w:t xml:space="preserve">COMMENTARY ON </w:t>
      </w:r>
      <w:r>
        <w:rPr>
          <w:rFonts w:cs="Cambria"/>
          <w:b/>
          <w:bCs/>
          <w:i/>
          <w:iCs/>
          <w:color w:val="000000"/>
          <w:sz w:val="20"/>
          <w:szCs w:val="20"/>
        </w:rPr>
        <w:t xml:space="preserve">20.3 </w:t>
      </w:r>
    </w:p>
    <w:p w14:paraId="0A5BBA82" w14:textId="107039E5" w:rsidR="00065C32" w:rsidRDefault="00065C32" w:rsidP="00065C32">
      <w:pPr>
        <w:pStyle w:val="Pa12"/>
        <w:spacing w:after="100"/>
        <w:rPr>
          <w:rFonts w:ascii="BSsymb10" w:eastAsia="BSsymb10" w:cs="BSsymb10"/>
          <w:color w:val="000000"/>
          <w:sz w:val="22"/>
          <w:szCs w:val="22"/>
        </w:rPr>
      </w:pPr>
      <w:r>
        <w:rPr>
          <w:rFonts w:eastAsia="BSsymb10" w:cs="Cambria"/>
          <w:i/>
          <w:iCs/>
          <w:color w:val="000000"/>
          <w:sz w:val="20"/>
          <w:szCs w:val="20"/>
        </w:rPr>
        <w:t>G</w:t>
      </w:r>
      <w:r>
        <w:rPr>
          <w:rFonts w:eastAsia="BSsymb10" w:cs="Cambria"/>
          <w:i/>
          <w:iCs/>
          <w:color w:val="000000"/>
          <w:sz w:val="20"/>
          <w:szCs w:val="20"/>
        </w:rPr>
        <w:t xml:space="preserve">uidance on the use of hot melt glue guns is given in </w:t>
      </w:r>
      <w:r>
        <w:rPr>
          <w:rStyle w:val="A8"/>
          <w:rFonts w:eastAsia="BSsymb10"/>
          <w:b/>
          <w:bCs/>
        </w:rPr>
        <w:t>12.19</w:t>
      </w:r>
      <w:r>
        <w:rPr>
          <w:rFonts w:eastAsia="BSsymb10" w:cs="Cambria"/>
          <w:i/>
          <w:iCs/>
          <w:color w:val="000000"/>
          <w:sz w:val="20"/>
          <w:szCs w:val="20"/>
        </w:rPr>
        <w:t>.</w:t>
      </w:r>
      <w:r>
        <w:rPr>
          <w:rStyle w:val="A7"/>
        </w:rPr>
        <w:t xml:space="preserve"> </w:t>
      </w:r>
    </w:p>
    <w:p w14:paraId="7C0EBC47" w14:textId="77777777" w:rsidR="00065C32" w:rsidRDefault="00065C32" w:rsidP="00065C32">
      <w:pPr>
        <w:pStyle w:val="Pa12"/>
        <w:spacing w:after="100"/>
        <w:rPr>
          <w:rFonts w:eastAsia="BSsymb10" w:cs="Cambria"/>
          <w:color w:val="000000"/>
          <w:sz w:val="20"/>
          <w:szCs w:val="20"/>
        </w:rPr>
      </w:pPr>
      <w:r>
        <w:rPr>
          <w:rFonts w:eastAsia="BSsymb10" w:cs="Cambria"/>
          <w:i/>
          <w:iCs/>
          <w:color w:val="000000"/>
          <w:sz w:val="20"/>
          <w:szCs w:val="20"/>
        </w:rPr>
        <w:t xml:space="preserve">Chemical substances and mixtures are classified, </w:t>
      </w:r>
      <w:proofErr w:type="gramStart"/>
      <w:r>
        <w:rPr>
          <w:rFonts w:eastAsia="BSsymb10" w:cs="Cambria"/>
          <w:i/>
          <w:iCs/>
          <w:color w:val="000000"/>
          <w:sz w:val="20"/>
          <w:szCs w:val="20"/>
        </w:rPr>
        <w:t>labelled</w:t>
      </w:r>
      <w:proofErr w:type="gramEnd"/>
      <w:r>
        <w:rPr>
          <w:rFonts w:eastAsia="BSsymb10" w:cs="Cambria"/>
          <w:i/>
          <w:iCs/>
          <w:color w:val="000000"/>
          <w:sz w:val="20"/>
          <w:szCs w:val="20"/>
        </w:rPr>
        <w:t xml:space="preserve"> and packaged in accordance with CLP Regulation (classification, labelling and packaging of substances and mixtures). </w:t>
      </w:r>
    </w:p>
    <w:p w14:paraId="5C59F2B1" w14:textId="77777777" w:rsidR="00065C32" w:rsidRDefault="00065C32" w:rsidP="00065C32">
      <w:pPr>
        <w:rPr>
          <w:rFonts w:eastAsia="BSsymb10" w:cs="Cambria"/>
          <w:i/>
          <w:iCs/>
          <w:color w:val="000000"/>
          <w:sz w:val="20"/>
          <w:szCs w:val="20"/>
        </w:rPr>
      </w:pPr>
      <w:r>
        <w:rPr>
          <w:rFonts w:eastAsia="BSsymb10" w:cs="Cambria"/>
          <w:i/>
          <w:iCs/>
          <w:color w:val="000000"/>
          <w:sz w:val="20"/>
          <w:szCs w:val="20"/>
        </w:rPr>
        <w:t>Attention is drawn to the Control of Substances Hazardous to Health (COSHH) Regulations 2002 (as amended) [</w:t>
      </w:r>
      <w:r>
        <w:rPr>
          <w:rStyle w:val="A8"/>
          <w:rFonts w:eastAsia="BSsymb10"/>
        </w:rPr>
        <w:t>23</w:t>
      </w:r>
      <w:r>
        <w:rPr>
          <w:rFonts w:eastAsia="BSsymb10" w:cs="Cambria"/>
          <w:i/>
          <w:iCs/>
          <w:color w:val="000000"/>
          <w:sz w:val="20"/>
          <w:szCs w:val="20"/>
        </w:rPr>
        <w:t xml:space="preserve">] </w:t>
      </w:r>
      <w:proofErr w:type="gramStart"/>
      <w:r>
        <w:rPr>
          <w:rFonts w:eastAsia="BSsymb10" w:cs="Cambria"/>
          <w:i/>
          <w:iCs/>
          <w:color w:val="000000"/>
          <w:sz w:val="20"/>
          <w:szCs w:val="20"/>
        </w:rPr>
        <w:t>with regard to</w:t>
      </w:r>
      <w:proofErr w:type="gramEnd"/>
      <w:r>
        <w:rPr>
          <w:rFonts w:eastAsia="BSsymb10" w:cs="Cambria"/>
          <w:i/>
          <w:iCs/>
          <w:color w:val="000000"/>
          <w:sz w:val="20"/>
          <w:szCs w:val="20"/>
        </w:rPr>
        <w:t xml:space="preserve"> an assessment of the risks associated with the use, storage and disposal of the substance</w:t>
      </w:r>
    </w:p>
    <w:p w14:paraId="59DFFA19" w14:textId="77777777" w:rsidR="00065C32" w:rsidRDefault="00065C32" w:rsidP="006E4245"/>
    <w:sectPr w:rsidR="00065C32" w:rsidSect="00065C32">
      <w:pgSz w:w="11906" w:h="16838"/>
      <w:pgMar w:top="1440" w:right="1134"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Ssymb10">
    <w:altName w:val="Microsoft JhengHei"/>
    <w:panose1 w:val="00000000000000000000"/>
    <w:charset w:val="88"/>
    <w:family w:val="swiss"/>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45"/>
    <w:rsid w:val="00065C32"/>
    <w:rsid w:val="006E4245"/>
    <w:rsid w:val="008C4C49"/>
    <w:rsid w:val="00952D8E"/>
    <w:rsid w:val="00994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0D8F"/>
  <w15:chartTrackingRefBased/>
  <w15:docId w15:val="{E2ECC968-E12C-4DF6-B1E4-9D1AC27B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8">
    <w:name w:val="Pa18"/>
    <w:basedOn w:val="Normal"/>
    <w:next w:val="Normal"/>
    <w:uiPriority w:val="99"/>
    <w:rsid w:val="006E4245"/>
    <w:pPr>
      <w:autoSpaceDE w:val="0"/>
      <w:autoSpaceDN w:val="0"/>
      <w:adjustRightInd w:val="0"/>
      <w:spacing w:after="0" w:line="231" w:lineRule="atLeast"/>
    </w:pPr>
    <w:rPr>
      <w:rFonts w:ascii="Cambria" w:hAnsi="Cambria"/>
      <w:sz w:val="24"/>
      <w:szCs w:val="24"/>
    </w:rPr>
  </w:style>
  <w:style w:type="paragraph" w:customStyle="1" w:styleId="Pa11">
    <w:name w:val="Pa11"/>
    <w:basedOn w:val="Normal"/>
    <w:next w:val="Normal"/>
    <w:uiPriority w:val="99"/>
    <w:rsid w:val="006E4245"/>
    <w:pPr>
      <w:autoSpaceDE w:val="0"/>
      <w:autoSpaceDN w:val="0"/>
      <w:adjustRightInd w:val="0"/>
      <w:spacing w:after="0" w:line="221" w:lineRule="atLeast"/>
    </w:pPr>
    <w:rPr>
      <w:rFonts w:ascii="Cambria" w:hAnsi="Cambria"/>
      <w:sz w:val="24"/>
      <w:szCs w:val="24"/>
    </w:rPr>
  </w:style>
  <w:style w:type="paragraph" w:customStyle="1" w:styleId="Pa12">
    <w:name w:val="Pa12"/>
    <w:basedOn w:val="Normal"/>
    <w:next w:val="Normal"/>
    <w:uiPriority w:val="99"/>
    <w:rsid w:val="006E4245"/>
    <w:pPr>
      <w:autoSpaceDE w:val="0"/>
      <w:autoSpaceDN w:val="0"/>
      <w:adjustRightInd w:val="0"/>
      <w:spacing w:after="0" w:line="201" w:lineRule="atLeast"/>
    </w:pPr>
    <w:rPr>
      <w:rFonts w:ascii="Cambria" w:hAnsi="Cambria"/>
      <w:sz w:val="24"/>
      <w:szCs w:val="24"/>
    </w:rPr>
  </w:style>
  <w:style w:type="character" w:customStyle="1" w:styleId="A7">
    <w:name w:val="A7"/>
    <w:uiPriority w:val="99"/>
    <w:rsid w:val="006E4245"/>
    <w:rPr>
      <w:rFonts w:ascii="BSsymb10" w:eastAsia="BSsymb10" w:cs="BSsymb10"/>
      <w:color w:val="000000"/>
      <w:sz w:val="22"/>
      <w:szCs w:val="22"/>
    </w:rPr>
  </w:style>
  <w:style w:type="character" w:customStyle="1" w:styleId="A8">
    <w:name w:val="A8"/>
    <w:uiPriority w:val="99"/>
    <w:rsid w:val="006E4245"/>
    <w:rPr>
      <w:rFonts w:cs="Cambria"/>
      <w:i/>
      <w:iCs/>
      <w:color w:val="053BF5"/>
      <w:sz w:val="20"/>
      <w:szCs w:val="20"/>
      <w:u w:val="single"/>
    </w:rPr>
  </w:style>
  <w:style w:type="character" w:customStyle="1" w:styleId="A5">
    <w:name w:val="A5"/>
    <w:uiPriority w:val="99"/>
    <w:rsid w:val="006E4245"/>
    <w:rPr>
      <w:rFonts w:cs="Cambria"/>
      <w:i/>
      <w:iCs/>
      <w:color w:val="000000"/>
      <w:sz w:val="11"/>
      <w:szCs w:val="11"/>
    </w:rPr>
  </w:style>
  <w:style w:type="character" w:customStyle="1" w:styleId="CommentaryTextChar">
    <w:name w:val="CommentaryText Char"/>
    <w:basedOn w:val="DefaultParagraphFont"/>
    <w:link w:val="CommentaryText"/>
    <w:locked/>
    <w:rsid w:val="00994EBC"/>
    <w:rPr>
      <w:rFonts w:ascii="Arial" w:hAnsi="Arial" w:cs="Arial"/>
      <w:i/>
      <w:iCs/>
    </w:rPr>
  </w:style>
  <w:style w:type="paragraph" w:customStyle="1" w:styleId="CommentaryText">
    <w:name w:val="CommentaryText"/>
    <w:basedOn w:val="Normal"/>
    <w:link w:val="CommentaryTextChar"/>
    <w:rsid w:val="00994EBC"/>
    <w:pPr>
      <w:spacing w:after="120" w:line="240" w:lineRule="auto"/>
    </w:pPr>
    <w:rPr>
      <w:rFonts w:ascii="Arial" w:hAnsi="Arial"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553</Words>
  <Characters>3156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 Patel</dc:creator>
  <cp:keywords/>
  <dc:description/>
  <cp:lastModifiedBy>Ryan Ball</cp:lastModifiedBy>
  <cp:revision>2</cp:revision>
  <dcterms:created xsi:type="dcterms:W3CDTF">2022-10-26T12:54:00Z</dcterms:created>
  <dcterms:modified xsi:type="dcterms:W3CDTF">2022-10-26T12:54:00Z</dcterms:modified>
</cp:coreProperties>
</file>